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7BA4" w14:textId="77777777" w:rsidR="00365E44" w:rsidRPr="00C6226E" w:rsidRDefault="00365E44" w:rsidP="00365E44">
      <w:pPr>
        <w:shd w:val="clear" w:color="auto" w:fill="FFFFFF"/>
        <w:spacing w:line="259" w:lineRule="exact"/>
        <w:ind w:right="29"/>
        <w:jc w:val="center"/>
        <w:rPr>
          <w:sz w:val="24"/>
          <w:szCs w:val="24"/>
          <w:lang w:val="sr-Cyrl-RS"/>
        </w:rPr>
      </w:pPr>
      <w:r w:rsidRPr="00C6226E">
        <w:rPr>
          <w:rFonts w:eastAsia="Times New Roman"/>
          <w:b/>
          <w:bCs/>
          <w:color w:val="000000"/>
          <w:sz w:val="24"/>
          <w:szCs w:val="24"/>
          <w:lang w:val="sr-Cyrl-RS"/>
        </w:rPr>
        <w:t>ОБРАЗАЦ ИЗЈАВЕ О УСКЛАЂЕНОСТИ ПРОПИСА</w:t>
      </w:r>
      <w:r w:rsidRPr="00C6226E">
        <w:rPr>
          <w:rFonts w:eastAsia="Times New Roman"/>
          <w:b/>
          <w:bCs/>
          <w:color w:val="000000"/>
          <w:sz w:val="24"/>
          <w:szCs w:val="24"/>
          <w:lang w:val="sr-Cyrl-RS"/>
        </w:rPr>
        <w:br/>
        <w:t>СА ПРОПИСИМА ЕВРОПСКЕ УНИЈЕ</w:t>
      </w:r>
    </w:p>
    <w:p w14:paraId="24121081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749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1.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Овлашћени предлагач: Влада </w:t>
      </w:r>
    </w:p>
    <w:p w14:paraId="640FFB1B" w14:textId="3F6CA6FE" w:rsidR="00365E44" w:rsidRPr="00C6226E" w:rsidRDefault="005C1156" w:rsidP="00365E44">
      <w:pPr>
        <w:shd w:val="clear" w:color="auto" w:fill="FFFFFF"/>
        <w:spacing w:line="254" w:lineRule="exact"/>
        <w:jc w:val="both"/>
        <w:rPr>
          <w:sz w:val="24"/>
          <w:szCs w:val="24"/>
          <w:lang w:val="sr-Cyrl-RS"/>
        </w:rPr>
      </w:pPr>
      <w:r>
        <w:rPr>
          <w:rFonts w:eastAsia="Times New Roman"/>
          <w:color w:val="000000"/>
          <w:sz w:val="24"/>
          <w:szCs w:val="24"/>
          <w:lang w:val="sr-Cyrl-RS"/>
        </w:rPr>
        <w:t xml:space="preserve">    </w:t>
      </w:r>
      <w:r w:rsidR="00365E44" w:rsidRPr="00C6226E">
        <w:rPr>
          <w:rFonts w:eastAsia="Times New Roman"/>
          <w:color w:val="000000"/>
          <w:sz w:val="24"/>
          <w:szCs w:val="24"/>
          <w:lang w:val="sr-Cyrl-RS"/>
        </w:rPr>
        <w:t xml:space="preserve">Обрађивач: Министарство финансија </w:t>
      </w:r>
    </w:p>
    <w:p w14:paraId="54211745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245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2.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Назив прописа</w:t>
      </w:r>
    </w:p>
    <w:p w14:paraId="14869174" w14:textId="0DD8828A" w:rsidR="00365E44" w:rsidRPr="00C6226E" w:rsidRDefault="00365E44" w:rsidP="00365E44">
      <w:pPr>
        <w:shd w:val="clear" w:color="auto" w:fill="FFFFFF"/>
        <w:spacing w:before="254" w:line="254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Предлог закона о изменама</w:t>
      </w:r>
      <w:r w:rsidR="002C2004">
        <w:rPr>
          <w:rFonts w:eastAsia="Times New Roman"/>
          <w:color w:val="000000"/>
          <w:sz w:val="24"/>
          <w:szCs w:val="24"/>
          <w:lang w:val="sr-Cyrl-RS"/>
        </w:rPr>
        <w:t xml:space="preserve"> и допунама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Закона о порезу на доходак грађана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br/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Draft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Law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on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amendments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to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Individual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Income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Tax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Law</w:t>
      </w:r>
      <w:proofErr w:type="spellEnd"/>
    </w:p>
    <w:p w14:paraId="0986CB63" w14:textId="77777777" w:rsidR="00365E44" w:rsidRPr="00C6226E" w:rsidRDefault="00365E44" w:rsidP="00365E44">
      <w:pPr>
        <w:shd w:val="clear" w:color="auto" w:fill="FFFFFF"/>
        <w:tabs>
          <w:tab w:val="left" w:pos="226"/>
        </w:tabs>
        <w:spacing w:before="240" w:line="259" w:lineRule="exact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3.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PC</w:t>
      </w:r>
      <w:r w:rsidRPr="00C6226E">
        <w:rPr>
          <w:rFonts w:eastAsia="Times New Roman"/>
          <w:bCs/>
          <w:color w:val="000000"/>
          <w:sz w:val="24"/>
          <w:szCs w:val="24"/>
          <w:lang w:val="sr-Cyrl-RS"/>
        </w:rPr>
        <w:t>”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, број 83/08) (у даљем тексту: Споразум):</w:t>
      </w:r>
    </w:p>
    <w:p w14:paraId="133549F1" w14:textId="77777777" w:rsidR="0047036E" w:rsidRPr="00C6226E" w:rsidRDefault="00365E44" w:rsidP="00365E44">
      <w:pPr>
        <w:shd w:val="clear" w:color="auto" w:fill="FFFFFF"/>
        <w:tabs>
          <w:tab w:val="left" w:pos="221"/>
        </w:tabs>
        <w:spacing w:before="43" w:line="504" w:lineRule="exact"/>
        <w:jc w:val="both"/>
        <w:rPr>
          <w:rFonts w:eastAsia="Times New Roman"/>
          <w:color w:val="000000"/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а)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Одредба Споразума која се односи на нормативну садржину прописа</w:t>
      </w:r>
    </w:p>
    <w:p w14:paraId="7E626622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43" w:line="504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Наслов IV - Слободан проток робе, члан 37. Споразума</w:t>
      </w:r>
    </w:p>
    <w:p w14:paraId="1FF52069" w14:textId="77777777" w:rsidR="00365E44" w:rsidRPr="00C6226E" w:rsidRDefault="00365E44" w:rsidP="00365E44">
      <w:pPr>
        <w:shd w:val="clear" w:color="auto" w:fill="FFFFFF"/>
        <w:spacing w:line="504" w:lineRule="exact"/>
        <w:ind w:left="14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Наслов VIII - Политике сарадње, члан 100. Споразума</w:t>
      </w:r>
    </w:p>
    <w:p w14:paraId="19E931F1" w14:textId="77777777" w:rsidR="0047036E" w:rsidRPr="00C6226E" w:rsidRDefault="00365E44" w:rsidP="00365E44">
      <w:pPr>
        <w:shd w:val="clear" w:color="auto" w:fill="FFFFFF"/>
        <w:tabs>
          <w:tab w:val="left" w:pos="221"/>
        </w:tabs>
        <w:spacing w:before="10" w:line="504" w:lineRule="exact"/>
        <w:jc w:val="both"/>
        <w:rPr>
          <w:rFonts w:eastAsia="Times New Roman"/>
          <w:color w:val="000000"/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б)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Прелазни рок за усклађивање законодавства према одредбама Споразума</w:t>
      </w:r>
    </w:p>
    <w:p w14:paraId="222D9D34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10" w:line="504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Примењује се рок из члана 72. Споразума, као општи рок за усклађивање прописа.</w:t>
      </w:r>
    </w:p>
    <w:p w14:paraId="4AF4A5A3" w14:textId="77777777" w:rsidR="0047036E" w:rsidRPr="00C6226E" w:rsidRDefault="00365E44" w:rsidP="00365E44">
      <w:pPr>
        <w:shd w:val="clear" w:color="auto" w:fill="FFFFFF"/>
        <w:tabs>
          <w:tab w:val="left" w:pos="221"/>
        </w:tabs>
        <w:spacing w:before="5" w:line="504" w:lineRule="exact"/>
        <w:jc w:val="both"/>
        <w:rPr>
          <w:rFonts w:eastAsia="Times New Roman"/>
          <w:color w:val="000000"/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в)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Оцена испуњености обавезе које произлазе из наведене одредбе Споразума</w:t>
      </w:r>
    </w:p>
    <w:p w14:paraId="26833E93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5" w:line="504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У потпуности испуњава обавезе које произилазе из одредаба Споразума.</w:t>
      </w:r>
    </w:p>
    <w:p w14:paraId="14045782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206" w:line="250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г)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Разлози за делимично испуњавање, односно неиспуњавање обавеза које произлазе из наведене одредбе Споразума</w:t>
      </w:r>
    </w:p>
    <w:p w14:paraId="059DE25C" w14:textId="77777777" w:rsidR="00365E44" w:rsidRPr="00C6226E" w:rsidRDefault="00365E44" w:rsidP="00365E44">
      <w:pPr>
        <w:shd w:val="clear" w:color="auto" w:fill="FFFFFF"/>
        <w:spacing w:line="250" w:lineRule="exact"/>
        <w:ind w:right="5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/</w:t>
      </w:r>
    </w:p>
    <w:p w14:paraId="15018584" w14:textId="77777777" w:rsidR="00365E44" w:rsidRPr="00C6226E" w:rsidRDefault="00365E44" w:rsidP="00365E44">
      <w:pPr>
        <w:shd w:val="clear" w:color="auto" w:fill="FFFFFF"/>
        <w:tabs>
          <w:tab w:val="left" w:pos="230"/>
        </w:tabs>
        <w:spacing w:before="58" w:line="509" w:lineRule="exact"/>
        <w:ind w:left="230" w:hanging="226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д)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Веза са Националним програмом за усвајање правних тековина Европске уније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br/>
        <w:t>3.16. Опорезивање, 3.16.1. Директно опорезивање</w:t>
      </w:r>
    </w:p>
    <w:p w14:paraId="766BE53A" w14:textId="77777777" w:rsidR="00365E44" w:rsidRPr="00C6226E" w:rsidRDefault="00365E44" w:rsidP="00365E44">
      <w:pPr>
        <w:shd w:val="clear" w:color="auto" w:fill="FFFFFF"/>
        <w:tabs>
          <w:tab w:val="left" w:pos="226"/>
        </w:tabs>
        <w:spacing w:line="509" w:lineRule="exact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4.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Усклађеност прописа са прописима Европске уније:</w:t>
      </w:r>
    </w:p>
    <w:p w14:paraId="2445DED4" w14:textId="77777777" w:rsidR="00365E44" w:rsidRPr="00C6226E" w:rsidRDefault="00365E44" w:rsidP="00365E44">
      <w:pPr>
        <w:shd w:val="clear" w:color="auto" w:fill="FFFFFF"/>
        <w:tabs>
          <w:tab w:val="left" w:pos="230"/>
        </w:tabs>
        <w:ind w:left="5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а)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Навођење одредби примарних извора права Европске уније и оцене усклађености са њима</w:t>
      </w:r>
    </w:p>
    <w:p w14:paraId="27822F21" w14:textId="77777777" w:rsidR="00365E44" w:rsidRPr="00C6226E" w:rsidRDefault="00365E44" w:rsidP="00365E44">
      <w:pPr>
        <w:shd w:val="clear" w:color="auto" w:fill="FFFFFF"/>
        <w:tabs>
          <w:tab w:val="left" w:pos="230"/>
        </w:tabs>
        <w:ind w:left="5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б)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Навођење секундарних извора права Европске уније и оцене усклађености са њима</w:t>
      </w:r>
    </w:p>
    <w:p w14:paraId="4856BCBC" w14:textId="77777777" w:rsidR="00365E44" w:rsidRPr="00C6226E" w:rsidRDefault="00365E44" w:rsidP="00365E44">
      <w:pPr>
        <w:shd w:val="clear" w:color="auto" w:fill="FFFFFF"/>
        <w:spacing w:before="254" w:line="250" w:lineRule="exact"/>
        <w:ind w:left="230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 xml:space="preserve">CELEX: 32009L0133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Директива Савета 2009/133/ЕЗ.</w:t>
      </w:r>
    </w:p>
    <w:p w14:paraId="42935788" w14:textId="77777777" w:rsidR="00365E44" w:rsidRPr="00C6226E" w:rsidRDefault="00365E44" w:rsidP="00365E44">
      <w:pPr>
        <w:shd w:val="clear" w:color="auto" w:fill="FFFFFF"/>
        <w:spacing w:line="250" w:lineRule="exact"/>
        <w:ind w:left="10" w:firstLine="216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У овом тренутку није било усклађивања са предметном директивом које је предвиђено у</w:t>
      </w:r>
      <w:r w:rsidR="006111BF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складу са роковима према НПАА.</w:t>
      </w:r>
    </w:p>
    <w:p w14:paraId="2991D114" w14:textId="560E1CF9" w:rsidR="00365E44" w:rsidRPr="00C6226E" w:rsidRDefault="00365E44" w:rsidP="00365E44">
      <w:pPr>
        <w:shd w:val="clear" w:color="auto" w:fill="FFFFFF"/>
        <w:tabs>
          <w:tab w:val="left" w:pos="230"/>
        </w:tabs>
        <w:spacing w:before="259" w:line="254" w:lineRule="exact"/>
        <w:ind w:left="5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в)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Навођење осталих извора права Европске уније и усклађеност са њима</w:t>
      </w:r>
      <w:r w:rsidR="005C1156">
        <w:rPr>
          <w:rFonts w:eastAsia="Times New Roman"/>
          <w:color w:val="000000"/>
          <w:sz w:val="24"/>
          <w:szCs w:val="24"/>
          <w:lang w:val="sr-Cyrl-RS"/>
        </w:rPr>
        <w:t>,</w:t>
      </w:r>
    </w:p>
    <w:p w14:paraId="5A0EA97B" w14:textId="77777777" w:rsidR="00365E44" w:rsidRPr="00C6226E" w:rsidRDefault="00365E44" w:rsidP="00365E44">
      <w:pPr>
        <w:shd w:val="clear" w:color="auto" w:fill="FFFFFF"/>
        <w:tabs>
          <w:tab w:val="left" w:pos="230"/>
        </w:tabs>
        <w:spacing w:line="254" w:lineRule="exact"/>
        <w:ind w:left="5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г)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Разлози за делимичну усклађеност, односно неусклађеност,</w:t>
      </w:r>
    </w:p>
    <w:p w14:paraId="7F88BCE1" w14:textId="77777777" w:rsidR="00365E44" w:rsidRPr="00C6226E" w:rsidRDefault="00365E44" w:rsidP="00365E44">
      <w:pPr>
        <w:shd w:val="clear" w:color="auto" w:fill="FFFFFF"/>
        <w:tabs>
          <w:tab w:val="left" w:pos="230"/>
        </w:tabs>
        <w:spacing w:line="254" w:lineRule="exact"/>
        <w:ind w:left="5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д)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ab/>
        <w:t>Рок у којем је предвиђено постизање потпуне усклађености прописа са прописима Европске</w:t>
      </w:r>
      <w:r w:rsidR="006111BF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уније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>.</w:t>
      </w:r>
    </w:p>
    <w:p w14:paraId="3BC304D7" w14:textId="77777777" w:rsidR="00365E44" w:rsidRPr="00C6226E" w:rsidRDefault="00365E44" w:rsidP="00365E44">
      <w:pPr>
        <w:shd w:val="clear" w:color="auto" w:fill="FFFFFF"/>
        <w:spacing w:before="240"/>
        <w:ind w:left="10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lastRenderedPageBreak/>
        <w:t xml:space="preserve">He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постоје одговарајући прописи Европске уније са којима је потребно обезбедити усклађеност.</w:t>
      </w:r>
    </w:p>
    <w:p w14:paraId="439D84BF" w14:textId="77777777" w:rsidR="00FA38B6" w:rsidRPr="00C6226E" w:rsidRDefault="00FA38B6" w:rsidP="00365E44">
      <w:pPr>
        <w:shd w:val="clear" w:color="auto" w:fill="FFFFFF"/>
        <w:tabs>
          <w:tab w:val="left" w:pos="350"/>
        </w:tabs>
        <w:spacing w:line="250" w:lineRule="exact"/>
        <w:jc w:val="both"/>
        <w:rPr>
          <w:color w:val="000000"/>
          <w:sz w:val="24"/>
          <w:szCs w:val="24"/>
          <w:lang w:val="sr-Cyrl-RS"/>
        </w:rPr>
      </w:pPr>
    </w:p>
    <w:p w14:paraId="0CFA68A9" w14:textId="77777777" w:rsidR="00365E44" w:rsidRPr="00C6226E" w:rsidRDefault="00365E44" w:rsidP="00365E44">
      <w:pPr>
        <w:shd w:val="clear" w:color="auto" w:fill="FFFFFF"/>
        <w:tabs>
          <w:tab w:val="left" w:pos="350"/>
        </w:tabs>
        <w:spacing w:line="250" w:lineRule="exact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5.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Уколико не постоје одговарајуће надлежности Европске уније у материји коју регулише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пропис, и/или не постоје одговарајући секундарни извори права Европске уније са којима је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потребно обезбедити усклађеност, потребно је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образложити ту чињеницу. У овом случају, није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потребно попуњавати Табелу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усклађености прописа. Табелу усклађености није потребно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попуњавати и уколико се домаћим прописом не врши пренос одредби секундарног извора права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br/>
        <w:t>Европске уније већ се искључиво врши примена или спровођење неког захтева који произилази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из одредбе секундарног извора права (нпр. Предлогом одлуке о изради стратешке процене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утицаја биће спроведена обавеза из члана 4. Директиве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2001/42/ЕЗ, али се не врши и пренос те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одредбе директиве).</w:t>
      </w:r>
    </w:p>
    <w:p w14:paraId="7D8DC3A1" w14:textId="77777777" w:rsidR="00365E44" w:rsidRPr="00C6226E" w:rsidRDefault="00365E44" w:rsidP="00365E44">
      <w:pPr>
        <w:shd w:val="clear" w:color="auto" w:fill="FFFFFF"/>
        <w:spacing w:before="254"/>
        <w:ind w:left="5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 xml:space="preserve">He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постоје одговарајући прописи Европске уније са којима је потребно обезбедити усклађеност.</w:t>
      </w:r>
    </w:p>
    <w:p w14:paraId="4296E615" w14:textId="77777777" w:rsidR="00365E44" w:rsidRPr="00C6226E" w:rsidRDefault="00365E44" w:rsidP="00365E44">
      <w:pPr>
        <w:shd w:val="clear" w:color="auto" w:fill="FFFFFF"/>
        <w:tabs>
          <w:tab w:val="left" w:pos="221"/>
        </w:tabs>
        <w:spacing w:before="245"/>
        <w:ind w:left="5"/>
        <w:jc w:val="both"/>
        <w:rPr>
          <w:rFonts w:eastAsia="Times New Roman"/>
          <w:color w:val="000000"/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>6.</w:t>
      </w:r>
      <w:r w:rsidRPr="00C6226E">
        <w:rPr>
          <w:color w:val="000000"/>
          <w:sz w:val="24"/>
          <w:szCs w:val="24"/>
          <w:lang w:val="sr-Cyrl-RS"/>
        </w:rPr>
        <w:tab/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Да ли су претходно наведени извори права Европске уније преведени на српски језик?</w:t>
      </w:r>
    </w:p>
    <w:p w14:paraId="3205915E" w14:textId="37B409AB" w:rsidR="00365E44" w:rsidRPr="00C6226E" w:rsidRDefault="00365E44" w:rsidP="00FA38B6">
      <w:pPr>
        <w:shd w:val="clear" w:color="auto" w:fill="FFFFFF"/>
        <w:spacing w:before="58"/>
        <w:ind w:left="10"/>
        <w:jc w:val="both"/>
        <w:rPr>
          <w:sz w:val="24"/>
          <w:szCs w:val="24"/>
          <w:lang w:val="sr-Cyrl-RS"/>
        </w:rPr>
      </w:pPr>
      <w:r w:rsidRPr="00C6226E">
        <w:rPr>
          <w:color w:val="000000"/>
          <w:sz w:val="24"/>
          <w:szCs w:val="24"/>
          <w:lang w:val="sr-Cyrl-RS"/>
        </w:rPr>
        <w:t xml:space="preserve">He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постоје одговарајући прописи Европске уније са којима</w:t>
      </w:r>
      <w:r w:rsid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је потребно обезбедити усклађеност.</w:t>
      </w:r>
    </w:p>
    <w:p w14:paraId="1AA67F8B" w14:textId="77777777" w:rsidR="00365E44" w:rsidRPr="00C6226E" w:rsidRDefault="00365E44" w:rsidP="00365E44">
      <w:pPr>
        <w:numPr>
          <w:ilvl w:val="0"/>
          <w:numId w:val="1"/>
        </w:numPr>
        <w:shd w:val="clear" w:color="auto" w:fill="FFFFFF"/>
        <w:tabs>
          <w:tab w:val="left" w:pos="221"/>
        </w:tabs>
        <w:spacing w:before="5" w:line="499" w:lineRule="exact"/>
        <w:ind w:left="5"/>
        <w:jc w:val="both"/>
        <w:rPr>
          <w:color w:val="000000"/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Да ли је пропис преведен на неки службени језик Европске уније?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br/>
        <w:t>He.</w:t>
      </w:r>
    </w:p>
    <w:p w14:paraId="0077BA69" w14:textId="77777777" w:rsidR="00365E44" w:rsidRPr="00C6226E" w:rsidRDefault="00365E44" w:rsidP="00365E44">
      <w:pPr>
        <w:numPr>
          <w:ilvl w:val="0"/>
          <w:numId w:val="1"/>
        </w:numPr>
        <w:shd w:val="clear" w:color="auto" w:fill="FFFFFF"/>
        <w:tabs>
          <w:tab w:val="left" w:pos="221"/>
        </w:tabs>
        <w:spacing w:before="230" w:line="240" w:lineRule="exact"/>
        <w:ind w:left="5"/>
        <w:jc w:val="both"/>
        <w:rPr>
          <w:color w:val="000000"/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Сарадња са Европском унијом и учешће </w:t>
      </w:r>
      <w:proofErr w:type="spellStart"/>
      <w:r w:rsidRPr="00C6226E">
        <w:rPr>
          <w:rFonts w:eastAsia="Times New Roman"/>
          <w:color w:val="000000"/>
          <w:sz w:val="24"/>
          <w:szCs w:val="24"/>
          <w:lang w:val="sr-Cyrl-RS"/>
        </w:rPr>
        <w:t>консултаната</w:t>
      </w:r>
      <w:proofErr w:type="spellEnd"/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у изради прописа и њихово мишљење</w:t>
      </w:r>
      <w:r w:rsidR="00FA38B6"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о усклађености.</w:t>
      </w:r>
    </w:p>
    <w:p w14:paraId="0C37097E" w14:textId="77777777" w:rsidR="00365E44" w:rsidRPr="00C6226E" w:rsidRDefault="00FA38B6" w:rsidP="00365E44">
      <w:pPr>
        <w:shd w:val="clear" w:color="auto" w:fill="FFFFFF"/>
        <w:spacing w:before="259" w:line="254" w:lineRule="exact"/>
        <w:jc w:val="both"/>
        <w:rPr>
          <w:sz w:val="24"/>
          <w:szCs w:val="24"/>
          <w:lang w:val="sr-Cyrl-RS"/>
        </w:rPr>
      </w:pPr>
      <w:r w:rsidRPr="00C6226E">
        <w:rPr>
          <w:rFonts w:eastAsia="Times New Roman"/>
          <w:color w:val="000000"/>
          <w:sz w:val="24"/>
          <w:szCs w:val="24"/>
          <w:lang w:val="sr-Cyrl-RS"/>
        </w:rPr>
        <w:t>Предлог</w:t>
      </w:r>
      <w:r w:rsidR="00365E44" w:rsidRPr="00C6226E">
        <w:rPr>
          <w:rFonts w:eastAsia="Times New Roman"/>
          <w:color w:val="000000"/>
          <w:sz w:val="24"/>
          <w:szCs w:val="24"/>
          <w:lang w:val="sr-Cyrl-RS"/>
        </w:rPr>
        <w:t xml:space="preserve"> закона није био предмет консултација са Европском унијом. У изради 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>Предлога</w:t>
      </w:r>
      <w:r w:rsidR="00365E44" w:rsidRPr="00C6226E">
        <w:rPr>
          <w:rFonts w:eastAsia="Times New Roman"/>
          <w:color w:val="000000"/>
          <w:sz w:val="24"/>
          <w:szCs w:val="24"/>
          <w:lang w:val="sr-Cyrl-RS"/>
        </w:rPr>
        <w:t xml:space="preserve"> закона нису</w:t>
      </w:r>
      <w:r w:rsidRPr="00C6226E">
        <w:rPr>
          <w:rFonts w:eastAsia="Times New Roman"/>
          <w:color w:val="000000"/>
          <w:sz w:val="24"/>
          <w:szCs w:val="24"/>
          <w:lang w:val="sr-Cyrl-RS"/>
        </w:rPr>
        <w:t xml:space="preserve"> </w:t>
      </w:r>
      <w:r w:rsidR="00365E44" w:rsidRPr="00C6226E">
        <w:rPr>
          <w:rFonts w:eastAsia="Times New Roman"/>
          <w:color w:val="000000"/>
          <w:sz w:val="24"/>
          <w:szCs w:val="24"/>
          <w:lang w:val="sr-Cyrl-RS"/>
        </w:rPr>
        <w:t>учествовали консултанти.</w:t>
      </w:r>
    </w:p>
    <w:p w14:paraId="3673D4DB" w14:textId="77777777" w:rsidR="00136480" w:rsidRPr="00C6226E" w:rsidRDefault="00136480" w:rsidP="00365E44">
      <w:pPr>
        <w:jc w:val="both"/>
        <w:rPr>
          <w:sz w:val="24"/>
          <w:szCs w:val="24"/>
          <w:lang w:val="sr-Cyrl-RS"/>
        </w:rPr>
      </w:pPr>
    </w:p>
    <w:sectPr w:rsidR="00136480" w:rsidRPr="00C6226E" w:rsidSect="00736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697B9" w14:textId="77777777" w:rsidR="00CF4A6A" w:rsidRDefault="00CF4A6A" w:rsidP="00736373">
      <w:r>
        <w:separator/>
      </w:r>
    </w:p>
  </w:endnote>
  <w:endnote w:type="continuationSeparator" w:id="0">
    <w:p w14:paraId="2C12A39C" w14:textId="77777777" w:rsidR="00CF4A6A" w:rsidRDefault="00CF4A6A" w:rsidP="0073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6E391" w14:textId="77777777" w:rsidR="00736373" w:rsidRDefault="007363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C50F" w14:textId="77777777" w:rsidR="00736373" w:rsidRDefault="007363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187F" w14:textId="77777777" w:rsidR="00736373" w:rsidRDefault="00736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E5A1" w14:textId="77777777" w:rsidR="00CF4A6A" w:rsidRDefault="00CF4A6A" w:rsidP="00736373">
      <w:r>
        <w:separator/>
      </w:r>
    </w:p>
  </w:footnote>
  <w:footnote w:type="continuationSeparator" w:id="0">
    <w:p w14:paraId="4CBB00CF" w14:textId="77777777" w:rsidR="00CF4A6A" w:rsidRDefault="00CF4A6A" w:rsidP="00736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05F1" w14:textId="77777777" w:rsidR="00736373" w:rsidRDefault="00736373" w:rsidP="00DD0E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CAB489" w14:textId="77777777" w:rsidR="00736373" w:rsidRDefault="007363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61A5E" w14:textId="77777777" w:rsidR="00736373" w:rsidRDefault="00736373" w:rsidP="00DD0E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D1E3FD2" w14:textId="77777777" w:rsidR="00736373" w:rsidRDefault="007363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6D58" w14:textId="77777777" w:rsidR="00736373" w:rsidRDefault="007363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B20DC"/>
    <w:multiLevelType w:val="singleLevel"/>
    <w:tmpl w:val="9104E662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0E"/>
    <w:rsid w:val="00023F8D"/>
    <w:rsid w:val="000623FF"/>
    <w:rsid w:val="000905D0"/>
    <w:rsid w:val="0009755F"/>
    <w:rsid w:val="000A46D1"/>
    <w:rsid w:val="000B0739"/>
    <w:rsid w:val="000B229E"/>
    <w:rsid w:val="000F2FAE"/>
    <w:rsid w:val="00106732"/>
    <w:rsid w:val="0010778F"/>
    <w:rsid w:val="00125F69"/>
    <w:rsid w:val="00136480"/>
    <w:rsid w:val="00137276"/>
    <w:rsid w:val="00184D96"/>
    <w:rsid w:val="00187CE9"/>
    <w:rsid w:val="001A6673"/>
    <w:rsid w:val="001B7FA4"/>
    <w:rsid w:val="00210113"/>
    <w:rsid w:val="00230B6C"/>
    <w:rsid w:val="00230EFD"/>
    <w:rsid w:val="00240D4B"/>
    <w:rsid w:val="00272EEC"/>
    <w:rsid w:val="002854FD"/>
    <w:rsid w:val="00287A86"/>
    <w:rsid w:val="00295068"/>
    <w:rsid w:val="002A040B"/>
    <w:rsid w:val="002B16A9"/>
    <w:rsid w:val="002C1C89"/>
    <w:rsid w:val="002C2004"/>
    <w:rsid w:val="002D1908"/>
    <w:rsid w:val="002F02FB"/>
    <w:rsid w:val="002F3467"/>
    <w:rsid w:val="003008AA"/>
    <w:rsid w:val="003049E0"/>
    <w:rsid w:val="00316DC3"/>
    <w:rsid w:val="00342AC4"/>
    <w:rsid w:val="00346953"/>
    <w:rsid w:val="003537BA"/>
    <w:rsid w:val="00353F20"/>
    <w:rsid w:val="00365E44"/>
    <w:rsid w:val="003676E3"/>
    <w:rsid w:val="00372643"/>
    <w:rsid w:val="003808C2"/>
    <w:rsid w:val="003877C8"/>
    <w:rsid w:val="00395C7D"/>
    <w:rsid w:val="003B75BF"/>
    <w:rsid w:val="003C4C3B"/>
    <w:rsid w:val="003C638A"/>
    <w:rsid w:val="003E3E8C"/>
    <w:rsid w:val="003F6234"/>
    <w:rsid w:val="00400828"/>
    <w:rsid w:val="00403E96"/>
    <w:rsid w:val="00443833"/>
    <w:rsid w:val="00445FA1"/>
    <w:rsid w:val="00451693"/>
    <w:rsid w:val="00453DEF"/>
    <w:rsid w:val="004636CD"/>
    <w:rsid w:val="0047036E"/>
    <w:rsid w:val="004D0601"/>
    <w:rsid w:val="004D23C7"/>
    <w:rsid w:val="004E4D88"/>
    <w:rsid w:val="004E6352"/>
    <w:rsid w:val="00500462"/>
    <w:rsid w:val="00501ADE"/>
    <w:rsid w:val="00503D39"/>
    <w:rsid w:val="0052316E"/>
    <w:rsid w:val="00527B70"/>
    <w:rsid w:val="00535671"/>
    <w:rsid w:val="005443C3"/>
    <w:rsid w:val="005465B1"/>
    <w:rsid w:val="0057291F"/>
    <w:rsid w:val="00574BFD"/>
    <w:rsid w:val="005C1156"/>
    <w:rsid w:val="005D2714"/>
    <w:rsid w:val="005F1634"/>
    <w:rsid w:val="005F72C4"/>
    <w:rsid w:val="00600DE6"/>
    <w:rsid w:val="00605763"/>
    <w:rsid w:val="006111BF"/>
    <w:rsid w:val="006152EB"/>
    <w:rsid w:val="00615F5B"/>
    <w:rsid w:val="00621DEC"/>
    <w:rsid w:val="00641D04"/>
    <w:rsid w:val="0064677A"/>
    <w:rsid w:val="006553FE"/>
    <w:rsid w:val="0068004B"/>
    <w:rsid w:val="0069052C"/>
    <w:rsid w:val="00694E22"/>
    <w:rsid w:val="006B650E"/>
    <w:rsid w:val="006C793A"/>
    <w:rsid w:val="006D340F"/>
    <w:rsid w:val="006E18AC"/>
    <w:rsid w:val="006F20BA"/>
    <w:rsid w:val="006F3B94"/>
    <w:rsid w:val="0073116E"/>
    <w:rsid w:val="00735839"/>
    <w:rsid w:val="00736373"/>
    <w:rsid w:val="00764836"/>
    <w:rsid w:val="00781204"/>
    <w:rsid w:val="007913E5"/>
    <w:rsid w:val="007B383A"/>
    <w:rsid w:val="007C1F7E"/>
    <w:rsid w:val="007D0626"/>
    <w:rsid w:val="008115AC"/>
    <w:rsid w:val="00856D00"/>
    <w:rsid w:val="00873662"/>
    <w:rsid w:val="00877D81"/>
    <w:rsid w:val="008A4218"/>
    <w:rsid w:val="009313B7"/>
    <w:rsid w:val="009375E1"/>
    <w:rsid w:val="0094658B"/>
    <w:rsid w:val="00946F55"/>
    <w:rsid w:val="00972B18"/>
    <w:rsid w:val="00976698"/>
    <w:rsid w:val="00986711"/>
    <w:rsid w:val="009A274D"/>
    <w:rsid w:val="009B557A"/>
    <w:rsid w:val="009E01A4"/>
    <w:rsid w:val="009E1290"/>
    <w:rsid w:val="009F715D"/>
    <w:rsid w:val="00A03E46"/>
    <w:rsid w:val="00A76F8B"/>
    <w:rsid w:val="00A82B08"/>
    <w:rsid w:val="00A933C9"/>
    <w:rsid w:val="00A95397"/>
    <w:rsid w:val="00AB31AF"/>
    <w:rsid w:val="00AC615F"/>
    <w:rsid w:val="00AF4139"/>
    <w:rsid w:val="00B16D70"/>
    <w:rsid w:val="00B65822"/>
    <w:rsid w:val="00B91089"/>
    <w:rsid w:val="00B935C3"/>
    <w:rsid w:val="00B93EA7"/>
    <w:rsid w:val="00BF3182"/>
    <w:rsid w:val="00C077E3"/>
    <w:rsid w:val="00C23621"/>
    <w:rsid w:val="00C2441F"/>
    <w:rsid w:val="00C6226E"/>
    <w:rsid w:val="00C9145E"/>
    <w:rsid w:val="00CC0A22"/>
    <w:rsid w:val="00CD5620"/>
    <w:rsid w:val="00CF12E3"/>
    <w:rsid w:val="00CF4A6A"/>
    <w:rsid w:val="00CF6ADA"/>
    <w:rsid w:val="00D11B3E"/>
    <w:rsid w:val="00D27B3D"/>
    <w:rsid w:val="00D374C3"/>
    <w:rsid w:val="00D50AF8"/>
    <w:rsid w:val="00D51B35"/>
    <w:rsid w:val="00D53869"/>
    <w:rsid w:val="00D5553B"/>
    <w:rsid w:val="00D60DC7"/>
    <w:rsid w:val="00D76FA5"/>
    <w:rsid w:val="00D82C7C"/>
    <w:rsid w:val="00DC7D64"/>
    <w:rsid w:val="00DE210E"/>
    <w:rsid w:val="00E0717F"/>
    <w:rsid w:val="00E34F54"/>
    <w:rsid w:val="00E37961"/>
    <w:rsid w:val="00E5781A"/>
    <w:rsid w:val="00E77DF5"/>
    <w:rsid w:val="00EB25BA"/>
    <w:rsid w:val="00EC5DCD"/>
    <w:rsid w:val="00EC69F1"/>
    <w:rsid w:val="00EE44D8"/>
    <w:rsid w:val="00F072D4"/>
    <w:rsid w:val="00F07530"/>
    <w:rsid w:val="00F6620B"/>
    <w:rsid w:val="00F71D5C"/>
    <w:rsid w:val="00F748BB"/>
    <w:rsid w:val="00F773AA"/>
    <w:rsid w:val="00F82186"/>
    <w:rsid w:val="00F972E4"/>
    <w:rsid w:val="00FA38B6"/>
    <w:rsid w:val="00FA514F"/>
    <w:rsid w:val="00FD1D57"/>
    <w:rsid w:val="00FD3E41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D0168"/>
  <w15:chartTrackingRefBased/>
  <w15:docId w15:val="{C5959594-FCC9-4B3C-9F4C-B50A02A0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5E44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63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6373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rsid w:val="007363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6373"/>
    <w:rPr>
      <w:rFonts w:eastAsiaTheme="minorEastAsia"/>
      <w:sz w:val="20"/>
      <w:szCs w:val="20"/>
    </w:rPr>
  </w:style>
  <w:style w:type="character" w:styleId="PageNumber">
    <w:name w:val="page number"/>
    <w:basedOn w:val="DefaultParagraphFont"/>
    <w:rsid w:val="00736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Andjelka Opacic</cp:lastModifiedBy>
  <cp:revision>7</cp:revision>
  <dcterms:created xsi:type="dcterms:W3CDTF">2025-10-23T10:16:00Z</dcterms:created>
  <dcterms:modified xsi:type="dcterms:W3CDTF">2025-10-23T13:57:00Z</dcterms:modified>
</cp:coreProperties>
</file>